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D35" w:rsidRDefault="00907D35" w:rsidP="00907D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b/>
          <w:sz w:val="26"/>
          <w:szCs w:val="26"/>
        </w:rPr>
        <w:t>Результаты</w:t>
      </w:r>
      <w:r w:rsidRPr="00907D35">
        <w:rPr>
          <w:rFonts w:ascii="Times New Roman" w:hAnsi="Times New Roman" w:cs="Times New Roman"/>
          <w:b/>
          <w:sz w:val="26"/>
          <w:szCs w:val="26"/>
        </w:rPr>
        <w:t xml:space="preserve"> экспертно-аналитического мероприятия</w:t>
      </w:r>
    </w:p>
    <w:p w:rsidR="001D7A1F" w:rsidRPr="001D7A1F" w:rsidRDefault="001D7A1F" w:rsidP="001D7A1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D7A1F">
        <w:rPr>
          <w:rFonts w:ascii="Times New Roman" w:hAnsi="Times New Roman" w:cs="Times New Roman"/>
          <w:b/>
          <w:sz w:val="26"/>
          <w:szCs w:val="26"/>
        </w:rPr>
        <w:t>«Оценка обоснованности признания безнадежной к взысканию и списания задолженности»</w:t>
      </w:r>
    </w:p>
    <w:p w:rsidR="006C5122" w:rsidRDefault="006C5122" w:rsidP="006C51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(заключение от </w:t>
      </w:r>
      <w:r w:rsidR="001D7A1F">
        <w:rPr>
          <w:rFonts w:ascii="Times New Roman" w:hAnsi="Times New Roman" w:cs="Times New Roman"/>
          <w:b/>
          <w:sz w:val="26"/>
          <w:szCs w:val="26"/>
        </w:rPr>
        <w:t>21.04.2026 № 29</w:t>
      </w:r>
      <w:r>
        <w:rPr>
          <w:rFonts w:ascii="Times New Roman" w:hAnsi="Times New Roman" w:cs="Times New Roman"/>
          <w:b/>
          <w:sz w:val="26"/>
          <w:szCs w:val="26"/>
        </w:rPr>
        <w:t>)</w:t>
      </w:r>
    </w:p>
    <w:bookmarkEnd w:id="0"/>
    <w:p w:rsidR="00907D35" w:rsidRDefault="00907D35" w:rsidP="003C3B7E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1D7A1F" w:rsidRPr="001D7A1F" w:rsidRDefault="00907D35" w:rsidP="001D7A1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7D35">
        <w:rPr>
          <w:rFonts w:ascii="Times New Roman" w:hAnsi="Times New Roman" w:cs="Times New Roman"/>
          <w:sz w:val="26"/>
          <w:szCs w:val="26"/>
        </w:rPr>
        <w:t xml:space="preserve">Экспертно-аналитическое мероприятие проведено </w:t>
      </w:r>
      <w:r w:rsidR="00072795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1D7A1F" w:rsidRPr="001D7A1F">
        <w:rPr>
          <w:rFonts w:ascii="Times New Roman" w:hAnsi="Times New Roman" w:cs="Times New Roman"/>
          <w:sz w:val="26"/>
          <w:szCs w:val="26"/>
        </w:rPr>
        <w:t>пункт</w:t>
      </w:r>
      <w:r w:rsidR="001D7A1F">
        <w:rPr>
          <w:rFonts w:ascii="Times New Roman" w:hAnsi="Times New Roman" w:cs="Times New Roman"/>
          <w:sz w:val="26"/>
          <w:szCs w:val="26"/>
        </w:rPr>
        <w:t>а</w:t>
      </w:r>
      <w:r w:rsidR="001D7A1F" w:rsidRPr="001D7A1F">
        <w:rPr>
          <w:rFonts w:ascii="Times New Roman" w:hAnsi="Times New Roman" w:cs="Times New Roman"/>
          <w:sz w:val="26"/>
          <w:szCs w:val="26"/>
        </w:rPr>
        <w:t xml:space="preserve"> 2.17 Плана работы Контрольно-счетной палаты </w:t>
      </w:r>
      <w:proofErr w:type="spellStart"/>
      <w:r w:rsidR="001D7A1F" w:rsidRPr="001D7A1F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="001D7A1F" w:rsidRPr="001D7A1F">
        <w:rPr>
          <w:rFonts w:ascii="Times New Roman" w:hAnsi="Times New Roman" w:cs="Times New Roman"/>
          <w:sz w:val="26"/>
          <w:szCs w:val="26"/>
        </w:rPr>
        <w:t xml:space="preserve"> муниципального округа на 2026 год, утвержденного распоряжением от 26.12.2025 № 96 (в редакции распоряжения от 13.03.2026 № 20), </w:t>
      </w:r>
      <w:r w:rsidR="001D7A1F">
        <w:rPr>
          <w:rFonts w:ascii="Times New Roman" w:hAnsi="Times New Roman" w:cs="Times New Roman"/>
          <w:sz w:val="26"/>
          <w:szCs w:val="26"/>
        </w:rPr>
        <w:t>Распоряжения</w:t>
      </w:r>
      <w:r w:rsidR="001D7A1F" w:rsidRPr="001D7A1F">
        <w:rPr>
          <w:rFonts w:ascii="Times New Roman" w:hAnsi="Times New Roman" w:cs="Times New Roman"/>
          <w:sz w:val="26"/>
          <w:szCs w:val="26"/>
        </w:rPr>
        <w:t xml:space="preserve"> Контрольно-счетной палаты </w:t>
      </w:r>
      <w:proofErr w:type="spellStart"/>
      <w:r w:rsidR="001D7A1F" w:rsidRPr="001D7A1F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="001D7A1F" w:rsidRPr="001D7A1F">
        <w:rPr>
          <w:rFonts w:ascii="Times New Roman" w:hAnsi="Times New Roman" w:cs="Times New Roman"/>
          <w:sz w:val="26"/>
          <w:szCs w:val="26"/>
        </w:rPr>
        <w:t xml:space="preserve"> муниципального округа от «07» апреля 2026 года № 28.</w:t>
      </w:r>
    </w:p>
    <w:p w:rsidR="001D7A1F" w:rsidRPr="001D7A1F" w:rsidRDefault="001D7A1F" w:rsidP="001D7A1F">
      <w:pPr>
        <w:tabs>
          <w:tab w:val="left" w:pos="1134"/>
          <w:tab w:val="left" w:pos="156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7A1F">
        <w:rPr>
          <w:rFonts w:ascii="Times New Roman" w:hAnsi="Times New Roman" w:cs="Times New Roman"/>
          <w:b/>
          <w:sz w:val="26"/>
          <w:szCs w:val="26"/>
        </w:rPr>
        <w:t>Предмет экспертно-аналитического мероприятия:</w:t>
      </w:r>
      <w:r w:rsidRPr="001D7A1F">
        <w:rPr>
          <w:rFonts w:ascii="Times New Roman" w:hAnsi="Times New Roman" w:cs="Times New Roman"/>
          <w:sz w:val="26"/>
          <w:szCs w:val="26"/>
        </w:rPr>
        <w:t xml:space="preserve"> проверка деятельности главного администратора (администратора) неналоговых доходов бюджета </w:t>
      </w:r>
      <w:proofErr w:type="spellStart"/>
      <w:r w:rsidRPr="001D7A1F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Pr="001D7A1F">
        <w:rPr>
          <w:rFonts w:ascii="Times New Roman" w:hAnsi="Times New Roman" w:cs="Times New Roman"/>
          <w:sz w:val="26"/>
          <w:szCs w:val="26"/>
        </w:rPr>
        <w:t xml:space="preserve"> муниципального округа по признанию безнадежной к взысканию и списания задолженности.</w:t>
      </w:r>
    </w:p>
    <w:p w:rsidR="001D7A1F" w:rsidRPr="001D7A1F" w:rsidRDefault="001D7A1F" w:rsidP="001D7A1F">
      <w:pPr>
        <w:tabs>
          <w:tab w:val="left" w:pos="1134"/>
          <w:tab w:val="left" w:pos="1560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D7A1F">
        <w:rPr>
          <w:rFonts w:ascii="Times New Roman" w:hAnsi="Times New Roman" w:cs="Times New Roman"/>
          <w:b/>
          <w:sz w:val="26"/>
          <w:szCs w:val="26"/>
        </w:rPr>
        <w:t>Объекты экспертно-аналитического мероприятия:</w:t>
      </w:r>
    </w:p>
    <w:p w:rsidR="001D7A1F" w:rsidRPr="001D7A1F" w:rsidRDefault="001D7A1F" w:rsidP="001D7A1F">
      <w:pPr>
        <w:numPr>
          <w:ilvl w:val="0"/>
          <w:numId w:val="15"/>
        </w:numPr>
        <w:tabs>
          <w:tab w:val="left" w:pos="851"/>
          <w:tab w:val="left" w:pos="993"/>
          <w:tab w:val="left" w:pos="1560"/>
        </w:tabs>
        <w:spacing w:after="0" w:line="276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D7A1F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Pr="001D7A1F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Pr="001D7A1F">
        <w:rPr>
          <w:rFonts w:ascii="Times New Roman" w:hAnsi="Times New Roman" w:cs="Times New Roman"/>
          <w:sz w:val="26"/>
          <w:szCs w:val="26"/>
        </w:rPr>
        <w:t xml:space="preserve"> муниципального округа Приморского края (далее также – </w:t>
      </w:r>
      <w:r w:rsidRPr="001D7A1F">
        <w:rPr>
          <w:rFonts w:ascii="Times New Roman" w:hAnsi="Times New Roman" w:cs="Times New Roman"/>
          <w:b/>
          <w:sz w:val="26"/>
          <w:szCs w:val="26"/>
        </w:rPr>
        <w:t>Администрация округа</w:t>
      </w:r>
      <w:r w:rsidRPr="001D7A1F">
        <w:rPr>
          <w:rFonts w:ascii="Times New Roman" w:hAnsi="Times New Roman" w:cs="Times New Roman"/>
          <w:sz w:val="26"/>
          <w:szCs w:val="26"/>
        </w:rPr>
        <w:t>);</w:t>
      </w:r>
    </w:p>
    <w:p w:rsidR="001D7A1F" w:rsidRPr="001D7A1F" w:rsidRDefault="001D7A1F" w:rsidP="001D7A1F">
      <w:pPr>
        <w:numPr>
          <w:ilvl w:val="0"/>
          <w:numId w:val="15"/>
        </w:numPr>
        <w:tabs>
          <w:tab w:val="left" w:pos="851"/>
          <w:tab w:val="left" w:pos="993"/>
          <w:tab w:val="left" w:pos="1560"/>
        </w:tabs>
        <w:spacing w:after="0" w:line="276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D7A1F">
        <w:rPr>
          <w:rFonts w:ascii="Times New Roman" w:hAnsi="Times New Roman" w:cs="Times New Roman"/>
          <w:sz w:val="26"/>
          <w:szCs w:val="26"/>
        </w:rPr>
        <w:t xml:space="preserve">Управление муниципального имущества администрации </w:t>
      </w:r>
      <w:proofErr w:type="spellStart"/>
      <w:r w:rsidRPr="001D7A1F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Pr="001D7A1F">
        <w:rPr>
          <w:rFonts w:ascii="Times New Roman" w:hAnsi="Times New Roman" w:cs="Times New Roman"/>
          <w:sz w:val="26"/>
          <w:szCs w:val="26"/>
        </w:rPr>
        <w:t xml:space="preserve"> муниципального округа Приморского края (далее также – </w:t>
      </w:r>
      <w:r w:rsidRPr="001D7A1F">
        <w:rPr>
          <w:rFonts w:ascii="Times New Roman" w:hAnsi="Times New Roman" w:cs="Times New Roman"/>
          <w:b/>
          <w:sz w:val="26"/>
          <w:szCs w:val="26"/>
        </w:rPr>
        <w:t>Управление, УМИ</w:t>
      </w:r>
      <w:r w:rsidRPr="001D7A1F">
        <w:rPr>
          <w:rFonts w:ascii="Times New Roman" w:hAnsi="Times New Roman" w:cs="Times New Roman"/>
          <w:sz w:val="26"/>
          <w:szCs w:val="26"/>
        </w:rPr>
        <w:t>).</w:t>
      </w:r>
    </w:p>
    <w:p w:rsidR="001D7A1F" w:rsidRPr="001D7A1F" w:rsidRDefault="001D7A1F" w:rsidP="001D7A1F">
      <w:pPr>
        <w:tabs>
          <w:tab w:val="left" w:pos="1134"/>
          <w:tab w:val="left" w:pos="156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7A1F">
        <w:rPr>
          <w:rFonts w:ascii="Times New Roman" w:hAnsi="Times New Roman" w:cs="Times New Roman"/>
          <w:b/>
          <w:sz w:val="26"/>
          <w:szCs w:val="26"/>
        </w:rPr>
        <w:t xml:space="preserve">Цель экспертно-аналитического мероприятия: </w:t>
      </w:r>
      <w:r w:rsidRPr="001D7A1F">
        <w:rPr>
          <w:rFonts w:ascii="Times New Roman" w:hAnsi="Times New Roman" w:cs="Times New Roman"/>
          <w:sz w:val="26"/>
          <w:szCs w:val="26"/>
        </w:rPr>
        <w:t xml:space="preserve">проверить обоснованность признания безнадежной к взысканию и списания задолженности по неналоговым доходам бюджета </w:t>
      </w:r>
      <w:proofErr w:type="spellStart"/>
      <w:r w:rsidRPr="001D7A1F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Pr="001D7A1F">
        <w:rPr>
          <w:rFonts w:ascii="Times New Roman" w:hAnsi="Times New Roman" w:cs="Times New Roman"/>
          <w:sz w:val="26"/>
          <w:szCs w:val="26"/>
        </w:rPr>
        <w:t xml:space="preserve"> муниципального округа администрируемых Управлением в 2024-2025 годах.</w:t>
      </w:r>
    </w:p>
    <w:p w:rsidR="001D7A1F" w:rsidRPr="001D7A1F" w:rsidRDefault="001D7A1F" w:rsidP="001D7A1F">
      <w:pPr>
        <w:tabs>
          <w:tab w:val="left" w:pos="1134"/>
          <w:tab w:val="left" w:pos="1560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D7A1F">
        <w:rPr>
          <w:rFonts w:ascii="Times New Roman" w:hAnsi="Times New Roman" w:cs="Times New Roman"/>
          <w:b/>
          <w:sz w:val="26"/>
          <w:szCs w:val="26"/>
        </w:rPr>
        <w:t>Вопросы экспертно-аналитического мероприятия:</w:t>
      </w:r>
    </w:p>
    <w:p w:rsidR="001D7A1F" w:rsidRPr="001D7A1F" w:rsidRDefault="001D7A1F" w:rsidP="001D7A1F">
      <w:pPr>
        <w:numPr>
          <w:ilvl w:val="0"/>
          <w:numId w:val="6"/>
        </w:numPr>
        <w:tabs>
          <w:tab w:val="left" w:pos="993"/>
          <w:tab w:val="left" w:pos="1560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D7A1F">
        <w:rPr>
          <w:rFonts w:ascii="Times New Roman" w:hAnsi="Times New Roman" w:cs="Times New Roman"/>
          <w:bCs/>
          <w:sz w:val="26"/>
          <w:szCs w:val="26"/>
        </w:rPr>
        <w:t>Анализ нормативного регулирования управления дебиторской задолженностью по неналоговым доходам с последующей конкретизацией в части нормативного регулирования работы с данной задолженностью Управлением</w:t>
      </w:r>
      <w:r w:rsidRPr="001D7A1F">
        <w:rPr>
          <w:rFonts w:ascii="Times New Roman" w:hAnsi="Times New Roman" w:cs="Times New Roman"/>
          <w:sz w:val="26"/>
          <w:szCs w:val="26"/>
        </w:rPr>
        <w:t xml:space="preserve"> </w:t>
      </w:r>
      <w:r w:rsidRPr="001D7A1F">
        <w:rPr>
          <w:rFonts w:ascii="Times New Roman" w:hAnsi="Times New Roman" w:cs="Times New Roman"/>
          <w:bCs/>
          <w:sz w:val="26"/>
          <w:szCs w:val="26"/>
        </w:rPr>
        <w:t xml:space="preserve">муниципального имущества администрации </w:t>
      </w:r>
      <w:proofErr w:type="spellStart"/>
      <w:r w:rsidRPr="001D7A1F">
        <w:rPr>
          <w:rFonts w:ascii="Times New Roman" w:hAnsi="Times New Roman" w:cs="Times New Roman"/>
          <w:bCs/>
          <w:sz w:val="26"/>
          <w:szCs w:val="26"/>
        </w:rPr>
        <w:t>Дальнегорского</w:t>
      </w:r>
      <w:proofErr w:type="spellEnd"/>
      <w:r w:rsidRPr="001D7A1F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Приморского края;</w:t>
      </w:r>
    </w:p>
    <w:p w:rsidR="001D7A1F" w:rsidRPr="001D7A1F" w:rsidRDefault="001D7A1F" w:rsidP="001D7A1F">
      <w:pPr>
        <w:numPr>
          <w:ilvl w:val="0"/>
          <w:numId w:val="6"/>
        </w:numPr>
        <w:tabs>
          <w:tab w:val="left" w:pos="993"/>
          <w:tab w:val="left" w:pos="1560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D7A1F">
        <w:rPr>
          <w:rFonts w:ascii="Times New Roman" w:hAnsi="Times New Roman" w:cs="Times New Roman"/>
          <w:bCs/>
          <w:sz w:val="26"/>
          <w:szCs w:val="26"/>
        </w:rPr>
        <w:t>Анализ объема, структуры, динамики образования, причин изменения дебиторской задолженности по неналоговым доходам администрируемым Управлением;</w:t>
      </w:r>
    </w:p>
    <w:p w:rsidR="001D7A1F" w:rsidRPr="001D7A1F" w:rsidRDefault="001D7A1F" w:rsidP="001D7A1F">
      <w:pPr>
        <w:numPr>
          <w:ilvl w:val="0"/>
          <w:numId w:val="6"/>
        </w:numPr>
        <w:tabs>
          <w:tab w:val="left" w:pos="993"/>
          <w:tab w:val="left" w:pos="1560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D7A1F">
        <w:rPr>
          <w:rFonts w:ascii="Times New Roman" w:hAnsi="Times New Roman" w:cs="Times New Roman"/>
          <w:bCs/>
          <w:sz w:val="26"/>
          <w:szCs w:val="26"/>
        </w:rPr>
        <w:t>Анализ мер, принимаемых Управлением как главным администратором доходов по сокращению дебиторской задолженности по администрируемым неналоговым доходам, в том числе в части их достаточности и результативности;</w:t>
      </w:r>
    </w:p>
    <w:p w:rsidR="001D7A1F" w:rsidRPr="001D7A1F" w:rsidRDefault="001D7A1F" w:rsidP="001D7A1F">
      <w:pPr>
        <w:numPr>
          <w:ilvl w:val="0"/>
          <w:numId w:val="6"/>
        </w:numPr>
        <w:tabs>
          <w:tab w:val="left" w:pos="993"/>
          <w:tab w:val="left" w:pos="1560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D7A1F">
        <w:rPr>
          <w:rFonts w:ascii="Times New Roman" w:hAnsi="Times New Roman" w:cs="Times New Roman"/>
          <w:bCs/>
          <w:sz w:val="26"/>
          <w:szCs w:val="26"/>
        </w:rPr>
        <w:t>Оценка обоснованности признания дебиторской задолженности по неналоговым доходам безнадежной к взысканию и её списанию.</w:t>
      </w:r>
    </w:p>
    <w:p w:rsidR="001D7A1F" w:rsidRPr="001D7A1F" w:rsidRDefault="001D7A1F" w:rsidP="001D7A1F">
      <w:pPr>
        <w:tabs>
          <w:tab w:val="left" w:pos="1134"/>
          <w:tab w:val="left" w:pos="156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7A1F">
        <w:rPr>
          <w:rFonts w:ascii="Times New Roman" w:hAnsi="Times New Roman" w:cs="Times New Roman"/>
          <w:b/>
          <w:sz w:val="26"/>
          <w:szCs w:val="26"/>
        </w:rPr>
        <w:t xml:space="preserve">Исследуемый период: </w:t>
      </w:r>
      <w:r w:rsidRPr="001D7A1F">
        <w:rPr>
          <w:rFonts w:ascii="Times New Roman" w:hAnsi="Times New Roman" w:cs="Times New Roman"/>
          <w:sz w:val="26"/>
          <w:szCs w:val="26"/>
        </w:rPr>
        <w:t>с 01 января 2024 года по 31 декабря 2025 года (включительно).</w:t>
      </w:r>
    </w:p>
    <w:p w:rsidR="001D7A1F" w:rsidRDefault="001D7A1F" w:rsidP="001D7A1F">
      <w:pPr>
        <w:tabs>
          <w:tab w:val="left" w:pos="1134"/>
          <w:tab w:val="left" w:pos="156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7A1F">
        <w:rPr>
          <w:rFonts w:ascii="Times New Roman" w:hAnsi="Times New Roman" w:cs="Times New Roman"/>
          <w:b/>
          <w:sz w:val="26"/>
          <w:szCs w:val="26"/>
        </w:rPr>
        <w:t xml:space="preserve">Срок проведения экспертно-аналитического мероприятия: </w:t>
      </w:r>
      <w:r w:rsidRPr="001D7A1F">
        <w:rPr>
          <w:rFonts w:ascii="Times New Roman" w:hAnsi="Times New Roman" w:cs="Times New Roman"/>
          <w:sz w:val="26"/>
          <w:szCs w:val="26"/>
        </w:rPr>
        <w:t>с «07» апреля 2026 года по «21» апреля 2026 года.</w:t>
      </w:r>
    </w:p>
    <w:p w:rsidR="001D7A1F" w:rsidRPr="00A74F18" w:rsidRDefault="00907D35" w:rsidP="00A74F18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7D35">
        <w:rPr>
          <w:rFonts w:ascii="Times New Roman" w:hAnsi="Times New Roman" w:cs="Times New Roman"/>
          <w:b/>
          <w:sz w:val="26"/>
          <w:szCs w:val="26"/>
        </w:rPr>
        <w:t>В результате проверки установлен</w:t>
      </w:r>
      <w:r w:rsidR="004335D1">
        <w:rPr>
          <w:rFonts w:ascii="Times New Roman" w:hAnsi="Times New Roman" w:cs="Times New Roman"/>
          <w:b/>
          <w:sz w:val="26"/>
          <w:szCs w:val="26"/>
        </w:rPr>
        <w:t>о (обобщенно)</w:t>
      </w:r>
      <w:r w:rsidR="00EC6B42">
        <w:rPr>
          <w:rFonts w:ascii="Times New Roman" w:hAnsi="Times New Roman" w:cs="Times New Roman"/>
          <w:b/>
          <w:sz w:val="26"/>
          <w:szCs w:val="26"/>
        </w:rPr>
        <w:t>:</w:t>
      </w:r>
    </w:p>
    <w:p w:rsidR="001D7A1F" w:rsidRPr="00BE3DF9" w:rsidRDefault="001D7A1F" w:rsidP="00AD3761">
      <w:pPr>
        <w:pStyle w:val="ab"/>
        <w:numPr>
          <w:ilvl w:val="0"/>
          <w:numId w:val="21"/>
        </w:numPr>
        <w:tabs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bCs/>
          <w:sz w:val="26"/>
          <w:szCs w:val="26"/>
        </w:rPr>
      </w:pPr>
      <w:r w:rsidRPr="00BE3DF9">
        <w:rPr>
          <w:rFonts w:ascii="Times New Roman" w:hAnsi="Times New Roman"/>
          <w:b/>
          <w:bCs/>
          <w:sz w:val="26"/>
          <w:szCs w:val="26"/>
        </w:rPr>
        <w:lastRenderedPageBreak/>
        <w:t xml:space="preserve">Анализ нормативного регулирования управления дебиторской задолженностью по неналоговым доходам с последующей конкретизацией в части нормативного регулирования работы с данной задолженностью Управлением муниципального имущества администрации </w:t>
      </w:r>
      <w:proofErr w:type="spellStart"/>
      <w:r w:rsidRPr="00BE3DF9">
        <w:rPr>
          <w:rFonts w:ascii="Times New Roman" w:hAnsi="Times New Roman"/>
          <w:b/>
          <w:bCs/>
          <w:sz w:val="26"/>
          <w:szCs w:val="26"/>
        </w:rPr>
        <w:t>Дальнегорского</w:t>
      </w:r>
      <w:proofErr w:type="spellEnd"/>
      <w:r w:rsidRPr="00BE3DF9">
        <w:rPr>
          <w:rFonts w:ascii="Times New Roman" w:hAnsi="Times New Roman"/>
          <w:b/>
          <w:bCs/>
          <w:sz w:val="26"/>
          <w:szCs w:val="26"/>
        </w:rPr>
        <w:t xml:space="preserve"> муниципального ок</w:t>
      </w:r>
      <w:r w:rsidR="00AD3761">
        <w:rPr>
          <w:rFonts w:ascii="Times New Roman" w:hAnsi="Times New Roman"/>
          <w:b/>
          <w:bCs/>
          <w:sz w:val="26"/>
          <w:szCs w:val="26"/>
        </w:rPr>
        <w:t xml:space="preserve">руга Приморского края установил, </w:t>
      </w:r>
      <w:r w:rsidRPr="00BE3DF9">
        <w:rPr>
          <w:rFonts w:ascii="Times New Roman" w:hAnsi="Times New Roman"/>
          <w:bCs/>
          <w:sz w:val="26"/>
          <w:szCs w:val="26"/>
        </w:rPr>
        <w:t xml:space="preserve">что муниципальная правовая база </w:t>
      </w:r>
      <w:proofErr w:type="spellStart"/>
      <w:r w:rsidRPr="00BE3DF9">
        <w:rPr>
          <w:rFonts w:ascii="Times New Roman" w:hAnsi="Times New Roman"/>
          <w:bCs/>
          <w:sz w:val="26"/>
          <w:szCs w:val="26"/>
        </w:rPr>
        <w:t>Дальнегорского</w:t>
      </w:r>
      <w:proofErr w:type="spellEnd"/>
      <w:r w:rsidRPr="00BE3DF9">
        <w:rPr>
          <w:rFonts w:ascii="Times New Roman" w:hAnsi="Times New Roman"/>
          <w:bCs/>
          <w:sz w:val="26"/>
          <w:szCs w:val="26"/>
        </w:rPr>
        <w:t xml:space="preserve"> муниципального округа, в соответствии с которой осуществляется деятельность по управлению дебиторской задолженностью по доходам бюджета не в целом соответствуют законодательству Российской Федерации определяющему общие требования к порядку принятия решений о признании безнадежной к взысканию задолженности по платежам в бюджеты бюджетной системы Российской Федерации», утвержденным Постановлением Правительства РФ от 06.05.2016 № 393.</w:t>
      </w:r>
    </w:p>
    <w:p w:rsidR="001D7A1F" w:rsidRPr="00BE3DF9" w:rsidRDefault="001D7A1F" w:rsidP="001D7A1F">
      <w:pPr>
        <w:tabs>
          <w:tab w:val="left" w:pos="851"/>
        </w:tabs>
        <w:spacing w:after="0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1D7A1F" w:rsidRPr="00BE3DF9" w:rsidRDefault="001D7A1F" w:rsidP="001D7A1F">
      <w:pPr>
        <w:pStyle w:val="ab"/>
        <w:numPr>
          <w:ilvl w:val="0"/>
          <w:numId w:val="2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BE3DF9">
        <w:rPr>
          <w:rFonts w:ascii="Times New Roman" w:hAnsi="Times New Roman"/>
          <w:b/>
          <w:bCs/>
          <w:sz w:val="26"/>
          <w:szCs w:val="26"/>
        </w:rPr>
        <w:t>Анализ объема, структуры, динамики образования, причин изменения дебиторской задолженности по неналоговым доходам администрируемым Управлением показал:</w:t>
      </w:r>
    </w:p>
    <w:p w:rsidR="001D7A1F" w:rsidRPr="00BE3DF9" w:rsidRDefault="001D7A1F" w:rsidP="001D7A1F">
      <w:pPr>
        <w:pStyle w:val="ab"/>
        <w:numPr>
          <w:ilvl w:val="0"/>
          <w:numId w:val="20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BE3DF9">
        <w:rPr>
          <w:rFonts w:ascii="Times New Roman" w:hAnsi="Times New Roman"/>
          <w:bCs/>
          <w:sz w:val="26"/>
          <w:szCs w:val="26"/>
        </w:rPr>
        <w:t>как рост, так и снижение объема дебиторской задолженности в проверяемый период;</w:t>
      </w:r>
    </w:p>
    <w:p w:rsidR="001D7A1F" w:rsidRPr="00BE3DF9" w:rsidRDefault="001D7A1F" w:rsidP="001D7A1F">
      <w:pPr>
        <w:pStyle w:val="ab"/>
        <w:numPr>
          <w:ilvl w:val="0"/>
          <w:numId w:val="20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BE3DF9">
        <w:rPr>
          <w:rFonts w:ascii="Times New Roman" w:hAnsi="Times New Roman"/>
          <w:bCs/>
          <w:sz w:val="26"/>
          <w:szCs w:val="26"/>
        </w:rPr>
        <w:t>показатели дебиторской задолженности по администрируемым Управл</w:t>
      </w:r>
      <w:r w:rsidR="00AD3761">
        <w:rPr>
          <w:rFonts w:ascii="Times New Roman" w:hAnsi="Times New Roman"/>
          <w:bCs/>
          <w:sz w:val="26"/>
          <w:szCs w:val="26"/>
        </w:rPr>
        <w:t>ением доходам были неравномерны;</w:t>
      </w:r>
    </w:p>
    <w:p w:rsidR="001D7A1F" w:rsidRPr="00BE3DF9" w:rsidRDefault="001D7A1F" w:rsidP="001D7A1F">
      <w:pPr>
        <w:pStyle w:val="ab"/>
        <w:numPr>
          <w:ilvl w:val="0"/>
          <w:numId w:val="20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BE3DF9">
        <w:rPr>
          <w:rFonts w:ascii="Times New Roman" w:hAnsi="Times New Roman"/>
          <w:bCs/>
          <w:sz w:val="26"/>
          <w:szCs w:val="26"/>
        </w:rPr>
        <w:t xml:space="preserve">наибольший удельный вес в общей сумме дебиторской задолженности по администрируемым Управлением неналоговым доходам во все анализируемые периоды приходится на Социальный </w:t>
      </w:r>
      <w:proofErr w:type="spellStart"/>
      <w:r w:rsidRPr="00BE3DF9">
        <w:rPr>
          <w:rFonts w:ascii="Times New Roman" w:hAnsi="Times New Roman"/>
          <w:bCs/>
          <w:sz w:val="26"/>
          <w:szCs w:val="26"/>
        </w:rPr>
        <w:t>найм</w:t>
      </w:r>
      <w:proofErr w:type="spellEnd"/>
      <w:r w:rsidRPr="00BE3DF9">
        <w:rPr>
          <w:rFonts w:ascii="Times New Roman" w:hAnsi="Times New Roman"/>
          <w:bCs/>
          <w:sz w:val="26"/>
          <w:szCs w:val="26"/>
        </w:rPr>
        <w:t>;</w:t>
      </w:r>
    </w:p>
    <w:p w:rsidR="001D7A1F" w:rsidRDefault="001D7A1F" w:rsidP="001D7A1F">
      <w:pPr>
        <w:pStyle w:val="ab"/>
        <w:numPr>
          <w:ilvl w:val="0"/>
          <w:numId w:val="20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BE3DF9">
        <w:rPr>
          <w:rFonts w:ascii="Times New Roman" w:hAnsi="Times New Roman"/>
          <w:bCs/>
          <w:sz w:val="26"/>
          <w:szCs w:val="26"/>
        </w:rPr>
        <w:t>установлено, что осуществляемые мероприятия Управлением, в том числе влияют на изменения дебиторской задолженности по неналоговым доходам администрируемым Управлением.</w:t>
      </w:r>
    </w:p>
    <w:p w:rsidR="001D7A1F" w:rsidRPr="004F0E09" w:rsidRDefault="001D7A1F" w:rsidP="001D7A1F">
      <w:pPr>
        <w:tabs>
          <w:tab w:val="left" w:pos="993"/>
        </w:tabs>
        <w:spacing w:after="0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1D7A1F" w:rsidRPr="00BE3DF9" w:rsidRDefault="001D7A1F" w:rsidP="001D7A1F">
      <w:pPr>
        <w:pStyle w:val="ab"/>
        <w:numPr>
          <w:ilvl w:val="0"/>
          <w:numId w:val="2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BE3DF9">
        <w:rPr>
          <w:rFonts w:ascii="Times New Roman" w:hAnsi="Times New Roman"/>
          <w:b/>
          <w:bCs/>
          <w:sz w:val="26"/>
          <w:szCs w:val="26"/>
        </w:rPr>
        <w:t>Анализ мер, принимаемых Управлением как главным администратором доходов по сокращению дебиторской задолженности по администрируемым неналоговым доходам, в том числе в части их достаточности и результативности установил:</w:t>
      </w:r>
    </w:p>
    <w:p w:rsidR="001D7A1F" w:rsidRPr="00BE3DF9" w:rsidRDefault="001D7A1F" w:rsidP="001D7A1F">
      <w:pPr>
        <w:pStyle w:val="ab"/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BE3DF9">
        <w:rPr>
          <w:rFonts w:ascii="Times New Roman" w:hAnsi="Times New Roman"/>
          <w:b/>
          <w:bCs/>
          <w:sz w:val="26"/>
          <w:szCs w:val="26"/>
        </w:rPr>
        <w:t>Анализируя меры, принимаемые Управлением по сокращению дебиторской задолженности по администрируемым неналоговым доходам</w:t>
      </w:r>
      <w:r>
        <w:rPr>
          <w:rFonts w:ascii="Times New Roman" w:hAnsi="Times New Roman"/>
          <w:b/>
          <w:bCs/>
          <w:sz w:val="26"/>
          <w:szCs w:val="26"/>
        </w:rPr>
        <w:t>,</w:t>
      </w:r>
      <w:r w:rsidRPr="00BE3DF9">
        <w:rPr>
          <w:rFonts w:ascii="Times New Roman" w:hAnsi="Times New Roman"/>
          <w:b/>
          <w:bCs/>
          <w:sz w:val="26"/>
          <w:szCs w:val="26"/>
        </w:rPr>
        <w:t xml:space="preserve"> Контрольно-счетная палата отметила осуществляемые:</w:t>
      </w:r>
    </w:p>
    <w:p w:rsidR="001D7A1F" w:rsidRPr="00BE3DF9" w:rsidRDefault="001D7A1F" w:rsidP="001D7A1F">
      <w:pPr>
        <w:pStyle w:val="ab"/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BE3DF9">
        <w:rPr>
          <w:rFonts w:ascii="Times New Roman" w:hAnsi="Times New Roman"/>
          <w:bCs/>
          <w:sz w:val="26"/>
          <w:szCs w:val="26"/>
        </w:rPr>
        <w:t>1)</w:t>
      </w:r>
      <w:r w:rsidRPr="00BE3DF9">
        <w:rPr>
          <w:rFonts w:ascii="Times New Roman" w:hAnsi="Times New Roman"/>
          <w:bCs/>
          <w:sz w:val="26"/>
          <w:szCs w:val="26"/>
        </w:rPr>
        <w:tab/>
        <w:t>претензионную работу;</w:t>
      </w:r>
    </w:p>
    <w:p w:rsidR="001D7A1F" w:rsidRPr="00BE3DF9" w:rsidRDefault="001D7A1F" w:rsidP="001D7A1F">
      <w:pPr>
        <w:pStyle w:val="ab"/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BE3DF9">
        <w:rPr>
          <w:rFonts w:ascii="Times New Roman" w:hAnsi="Times New Roman"/>
          <w:bCs/>
          <w:sz w:val="26"/>
          <w:szCs w:val="26"/>
        </w:rPr>
        <w:t>2)</w:t>
      </w:r>
      <w:r w:rsidRPr="00BE3DF9">
        <w:rPr>
          <w:rFonts w:ascii="Times New Roman" w:hAnsi="Times New Roman"/>
          <w:bCs/>
          <w:sz w:val="26"/>
          <w:szCs w:val="26"/>
        </w:rPr>
        <w:tab/>
        <w:t>деятельность, направленную на предъявление в судебные инстанции исковых заявлений о взыскании задолженности;</w:t>
      </w:r>
    </w:p>
    <w:p w:rsidR="001D7A1F" w:rsidRPr="00BE3DF9" w:rsidRDefault="001D7A1F" w:rsidP="001D7A1F">
      <w:pPr>
        <w:pStyle w:val="ab"/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BE3DF9">
        <w:rPr>
          <w:rFonts w:ascii="Times New Roman" w:hAnsi="Times New Roman"/>
          <w:bCs/>
          <w:sz w:val="26"/>
          <w:szCs w:val="26"/>
        </w:rPr>
        <w:t>3)</w:t>
      </w:r>
      <w:r w:rsidRPr="00BE3DF9">
        <w:rPr>
          <w:rFonts w:ascii="Times New Roman" w:hAnsi="Times New Roman"/>
          <w:bCs/>
          <w:sz w:val="26"/>
          <w:szCs w:val="26"/>
        </w:rPr>
        <w:tab/>
        <w:t>предъявление на исполнение в Федеральную службу судебных приставов исполнительных документов в отношении должников путем подачи заявлений о возбуждении исполнительных производств;</w:t>
      </w:r>
    </w:p>
    <w:p w:rsidR="001D7A1F" w:rsidRPr="00BE3DF9" w:rsidRDefault="001D7A1F" w:rsidP="001D7A1F">
      <w:pPr>
        <w:pStyle w:val="ab"/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BE3DF9">
        <w:rPr>
          <w:rFonts w:ascii="Times New Roman" w:hAnsi="Times New Roman"/>
          <w:bCs/>
          <w:sz w:val="26"/>
          <w:szCs w:val="26"/>
        </w:rPr>
        <w:t>4)</w:t>
      </w:r>
      <w:r w:rsidRPr="00BE3DF9">
        <w:rPr>
          <w:rFonts w:ascii="Times New Roman" w:hAnsi="Times New Roman"/>
          <w:bCs/>
          <w:sz w:val="26"/>
          <w:szCs w:val="26"/>
        </w:rPr>
        <w:tab/>
        <w:t>взаимодействие с Отделом судебных приставов.</w:t>
      </w:r>
    </w:p>
    <w:p w:rsidR="001D7A1F" w:rsidRPr="00BE3DF9" w:rsidRDefault="001D7A1F" w:rsidP="001D7A1F">
      <w:pPr>
        <w:pStyle w:val="ab"/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BE3DF9">
        <w:rPr>
          <w:rFonts w:ascii="Times New Roman" w:hAnsi="Times New Roman"/>
          <w:bCs/>
          <w:sz w:val="26"/>
          <w:szCs w:val="26"/>
        </w:rPr>
        <w:t>В качестве недостатка отме</w:t>
      </w:r>
      <w:r w:rsidR="00E2534F">
        <w:rPr>
          <w:rFonts w:ascii="Times New Roman" w:hAnsi="Times New Roman"/>
          <w:bCs/>
          <w:sz w:val="26"/>
          <w:szCs w:val="26"/>
        </w:rPr>
        <w:t>чено</w:t>
      </w:r>
      <w:r w:rsidRPr="00BE3DF9">
        <w:rPr>
          <w:rFonts w:ascii="Times New Roman" w:hAnsi="Times New Roman"/>
          <w:bCs/>
          <w:sz w:val="26"/>
          <w:szCs w:val="26"/>
        </w:rPr>
        <w:t xml:space="preserve"> отсутствие информации об осуществлении инвентаризации направленной на выявление дебиторской задолженности.</w:t>
      </w:r>
    </w:p>
    <w:p w:rsidR="001D7A1F" w:rsidRPr="009B2921" w:rsidRDefault="001D7A1F" w:rsidP="001D7A1F">
      <w:pPr>
        <w:tabs>
          <w:tab w:val="left" w:pos="993"/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i/>
          <w:color w:val="FF0000"/>
          <w:sz w:val="26"/>
          <w:szCs w:val="26"/>
          <w:u w:val="single"/>
        </w:rPr>
      </w:pPr>
      <w:r w:rsidRPr="00BE3DF9">
        <w:rPr>
          <w:rFonts w:ascii="Times New Roman" w:hAnsi="Times New Roman"/>
          <w:bCs/>
          <w:sz w:val="26"/>
          <w:szCs w:val="26"/>
        </w:rPr>
        <w:lastRenderedPageBreak/>
        <w:t>В процессе мероприятия установлено,</w:t>
      </w:r>
      <w:r w:rsidRPr="009B2921">
        <w:rPr>
          <w:rFonts w:ascii="Times New Roman" w:hAnsi="Times New Roman"/>
          <w:bCs/>
          <w:sz w:val="26"/>
          <w:szCs w:val="26"/>
        </w:rPr>
        <w:t xml:space="preserve"> что в Управлении конкретизирован порядок по реализации полномочий администратора доходов бюджета по взысканию дебиторской задолженности по платежам в бюджет, пеням по ним и о признании безнадежной к взысканию</w:t>
      </w:r>
      <w:r w:rsidRPr="00BE3DF9">
        <w:rPr>
          <w:rFonts w:ascii="Times New Roman" w:hAnsi="Times New Roman"/>
          <w:bCs/>
          <w:sz w:val="26"/>
          <w:szCs w:val="26"/>
        </w:rPr>
        <w:t xml:space="preserve"> поскольку в Регламенте от 29.03.2023 № 20 прописаны (раздел 4) досудебные мероприятия по взысканию просроченной дебиторской задолженности включая сроки их осуществления и ответственных лиц, а в разделе 5 отражен судебный порядок взыскания просроченной дебиторской задолженности</w:t>
      </w:r>
      <w:r w:rsidRPr="00BE3DF9">
        <w:rPr>
          <w:rFonts w:ascii="Times New Roman" w:hAnsi="Times New Roman"/>
          <w:b/>
          <w:bCs/>
          <w:sz w:val="26"/>
          <w:szCs w:val="26"/>
        </w:rPr>
        <w:t xml:space="preserve">(ВАЖНО! </w:t>
      </w:r>
      <w:r>
        <w:rPr>
          <w:rFonts w:ascii="Times New Roman" w:hAnsi="Times New Roman"/>
          <w:b/>
          <w:bCs/>
          <w:sz w:val="26"/>
          <w:szCs w:val="26"/>
        </w:rPr>
        <w:t>У</w:t>
      </w:r>
      <w:r w:rsidRPr="009B2921">
        <w:rPr>
          <w:rFonts w:ascii="Times New Roman" w:hAnsi="Times New Roman"/>
          <w:b/>
          <w:bCs/>
          <w:sz w:val="26"/>
          <w:szCs w:val="26"/>
        </w:rPr>
        <w:t>становлено</w:t>
      </w:r>
      <w:r>
        <w:rPr>
          <w:rFonts w:ascii="Times New Roman" w:hAnsi="Times New Roman"/>
          <w:b/>
          <w:bCs/>
          <w:sz w:val="26"/>
          <w:szCs w:val="26"/>
        </w:rPr>
        <w:t>,</w:t>
      </w:r>
      <w:r w:rsidRPr="009B2921">
        <w:rPr>
          <w:rFonts w:ascii="Times New Roman" w:hAnsi="Times New Roman"/>
          <w:b/>
          <w:bCs/>
          <w:sz w:val="26"/>
          <w:szCs w:val="26"/>
        </w:rPr>
        <w:t xml:space="preserve"> что Регламент </w:t>
      </w:r>
      <w:r w:rsidRPr="00BE3DF9">
        <w:rPr>
          <w:rFonts w:ascii="Times New Roman" w:hAnsi="Times New Roman"/>
          <w:b/>
          <w:bCs/>
          <w:sz w:val="26"/>
          <w:szCs w:val="26"/>
        </w:rPr>
        <w:t xml:space="preserve">от 29.03.2023 № 20 </w:t>
      </w:r>
      <w:r w:rsidRPr="009B2921">
        <w:rPr>
          <w:rFonts w:ascii="Times New Roman" w:hAnsi="Times New Roman"/>
          <w:b/>
          <w:bCs/>
          <w:sz w:val="26"/>
          <w:szCs w:val="26"/>
        </w:rPr>
        <w:t xml:space="preserve">утвержден Управлением в соответствии с Приказом, содержащим общие требования к таковым утратившим силу в виду наличия </w:t>
      </w:r>
      <w:r w:rsidRPr="009B2921">
        <w:rPr>
          <w:rFonts w:ascii="Times New Roman" w:hAnsi="Times New Roman"/>
          <w:b/>
          <w:bCs/>
          <w:sz w:val="26"/>
          <w:szCs w:val="26"/>
          <w:u w:val="single"/>
        </w:rPr>
        <w:t>Приказа от 26.09.2024 № 139н</w:t>
      </w:r>
      <w:r w:rsidRPr="00BE3DF9">
        <w:rPr>
          <w:rFonts w:ascii="Times New Roman" w:hAnsi="Times New Roman"/>
          <w:b/>
          <w:bCs/>
          <w:sz w:val="26"/>
          <w:szCs w:val="26"/>
          <w:u w:val="single"/>
        </w:rPr>
        <w:t xml:space="preserve"> и как результат </w:t>
      </w:r>
      <w:r w:rsidRPr="009B2921">
        <w:rPr>
          <w:rFonts w:ascii="Times New Roman" w:hAnsi="Times New Roman"/>
          <w:b/>
          <w:bCs/>
          <w:sz w:val="26"/>
          <w:szCs w:val="26"/>
          <w:u w:val="single"/>
        </w:rPr>
        <w:t>нарушение в деятельности Управления как администратора доходов абзаца девятого пункта 2 статьи 160.1 Бюджетного кодекса РФ поскольку в проверяемый период после 26.09.2024 (дата Приказа)</w:t>
      </w:r>
      <w:r w:rsidRPr="009B292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в силу отсутствия </w:t>
      </w:r>
      <w:r w:rsidRPr="00BE3DF9">
        <w:rPr>
          <w:rFonts w:ascii="Times New Roman" w:hAnsi="Times New Roman"/>
          <w:b/>
          <w:bCs/>
          <w:sz w:val="26"/>
          <w:szCs w:val="26"/>
          <w:u w:val="single"/>
        </w:rPr>
        <w:t>устано</w:t>
      </w:r>
      <w:r w:rsidRPr="009B2921">
        <w:rPr>
          <w:rFonts w:ascii="Times New Roman" w:hAnsi="Times New Roman"/>
          <w:b/>
          <w:bCs/>
          <w:sz w:val="26"/>
          <w:szCs w:val="26"/>
          <w:u w:val="single"/>
        </w:rPr>
        <w:t>вленного им регламента реализации полномочий по взысканию дебиторской задолженности по платежам в бюджет, пеням и штрафам по ним, разработанного в соответствии с общими требованиями, установленными Министерством финансов Российской Федерации</w:t>
      </w:r>
      <w:r w:rsidRPr="00BE3DF9">
        <w:rPr>
          <w:rFonts w:ascii="Times New Roman" w:hAnsi="Times New Roman"/>
          <w:b/>
          <w:bCs/>
          <w:sz w:val="26"/>
          <w:szCs w:val="26"/>
          <w:u w:val="single"/>
        </w:rPr>
        <w:t>).</w:t>
      </w:r>
    </w:p>
    <w:p w:rsidR="001D7A1F" w:rsidRPr="00BE3DF9" w:rsidRDefault="001D7A1F" w:rsidP="001D7A1F">
      <w:pPr>
        <w:tabs>
          <w:tab w:val="left" w:pos="851"/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BE3DF9">
        <w:rPr>
          <w:rFonts w:ascii="Times New Roman" w:hAnsi="Times New Roman"/>
          <w:bCs/>
          <w:sz w:val="26"/>
          <w:szCs w:val="26"/>
        </w:rPr>
        <w:t>Анализ Приложения № 1 к заключению установил низкую результативность мероприятий, осуществляемых в рамках работы по взысканию дебиторской задолженности по администрируемым Управлением неналоговым доходам в 2024 году и возросшую результативность мероприятий, осуществляемых в рамках работы по взысканию дебиторской задолженности по администрируемым Управлением неналоговым доходам в 2025 году.</w:t>
      </w:r>
    </w:p>
    <w:p w:rsidR="001D7A1F" w:rsidRPr="00BE3DF9" w:rsidRDefault="001D7A1F" w:rsidP="001D7A1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BE3DF9">
        <w:rPr>
          <w:rFonts w:ascii="Times New Roman" w:hAnsi="Times New Roman"/>
          <w:bCs/>
          <w:sz w:val="26"/>
          <w:szCs w:val="26"/>
        </w:rPr>
        <w:t>Сопоставляя данные бюджетной отчетности за 2025 год и документы, предоставленные к настоящей проверке отмечено, что работа, осуществляемая Управлением</w:t>
      </w:r>
      <w:r>
        <w:rPr>
          <w:rFonts w:ascii="Times New Roman" w:hAnsi="Times New Roman"/>
          <w:bCs/>
          <w:sz w:val="26"/>
          <w:szCs w:val="26"/>
        </w:rPr>
        <w:t>,</w:t>
      </w:r>
      <w:r w:rsidRPr="00BE3DF9">
        <w:rPr>
          <w:rFonts w:ascii="Times New Roman" w:hAnsi="Times New Roman"/>
          <w:bCs/>
          <w:sz w:val="26"/>
          <w:szCs w:val="26"/>
        </w:rPr>
        <w:t xml:space="preserve"> не всегда направлена на крупных дебиторов имеющих просроченную задолженность.</w:t>
      </w:r>
    </w:p>
    <w:p w:rsidR="001D7A1F" w:rsidRPr="00BE3DF9" w:rsidRDefault="001D7A1F" w:rsidP="001D7A1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BE3DF9">
        <w:rPr>
          <w:rFonts w:ascii="Times New Roman" w:hAnsi="Times New Roman"/>
          <w:bCs/>
          <w:sz w:val="26"/>
          <w:szCs w:val="26"/>
        </w:rPr>
        <w:t>Установлено не осуществление досудебных мероприятий по взысканию просроченной дебиторской задолженности и как результат нарушение раздела 4 Регламента от 29.03.2023 № 20 ответственными исполнителями Управления.</w:t>
      </w:r>
    </w:p>
    <w:p w:rsidR="001D7A1F" w:rsidRPr="00BE3DF9" w:rsidRDefault="001D7A1F" w:rsidP="001D7A1F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1D7A1F" w:rsidRPr="00BE3DF9" w:rsidRDefault="001D7A1F" w:rsidP="001D7A1F">
      <w:pPr>
        <w:pStyle w:val="ab"/>
        <w:numPr>
          <w:ilvl w:val="0"/>
          <w:numId w:val="2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BE3DF9">
        <w:rPr>
          <w:rFonts w:ascii="Times New Roman" w:hAnsi="Times New Roman"/>
          <w:b/>
          <w:bCs/>
          <w:sz w:val="26"/>
          <w:szCs w:val="26"/>
        </w:rPr>
        <w:t>Оценивая обоснованность признания дебиторской задолженности по неналоговым доходам безнадежной к взысканию и её списанию КСП установила:</w:t>
      </w:r>
    </w:p>
    <w:p w:rsidR="001D7A1F" w:rsidRPr="00BE3DF9" w:rsidRDefault="001D7A1F" w:rsidP="001D7A1F">
      <w:pPr>
        <w:pStyle w:val="ab"/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BE3DF9">
        <w:rPr>
          <w:rFonts w:ascii="Times New Roman" w:hAnsi="Times New Roman"/>
          <w:bCs/>
          <w:sz w:val="26"/>
          <w:szCs w:val="26"/>
        </w:rPr>
        <w:t xml:space="preserve">Наибольший удельный вес из состава дел по списанной задолженности безнадежной к взысканию за 2024 год (48 случаев из 50 – 90%) составило </w:t>
      </w:r>
      <w:r w:rsidRPr="00BE3DF9">
        <w:rPr>
          <w:rFonts w:ascii="Times New Roman" w:hAnsi="Times New Roman"/>
          <w:b/>
          <w:bCs/>
          <w:sz w:val="26"/>
          <w:szCs w:val="26"/>
        </w:rPr>
        <w:t>списание платы за наем жилых помещений муниципального жилищного фонда.</w:t>
      </w:r>
    </w:p>
    <w:p w:rsidR="001D7A1F" w:rsidRPr="00BE3DF9" w:rsidRDefault="001D7A1F" w:rsidP="001D7A1F">
      <w:pPr>
        <w:pStyle w:val="ab"/>
        <w:spacing w:after="0"/>
        <w:ind w:left="0"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BE3DF9">
        <w:rPr>
          <w:rFonts w:ascii="Times New Roman" w:hAnsi="Times New Roman"/>
          <w:b/>
          <w:bCs/>
          <w:sz w:val="26"/>
          <w:szCs w:val="26"/>
        </w:rPr>
        <w:t>При анализе перечня дел по списанной задолженности безнадежной к взысканию за 2024 год обращено внимание на отсутствие списываемой пени по ряду дебиторов.</w:t>
      </w:r>
      <w:r w:rsidRPr="00BE3DF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В связи с изложенным </w:t>
      </w:r>
      <w:r w:rsidRPr="00BE3DF9">
        <w:rPr>
          <w:rFonts w:ascii="Times New Roman" w:hAnsi="Times New Roman"/>
          <w:b/>
          <w:bCs/>
          <w:sz w:val="26"/>
          <w:szCs w:val="26"/>
        </w:rPr>
        <w:t xml:space="preserve">установлен риск не в полной мере осуществляемого контроля за правильностью исчисления, полнотой и своевременностью осуществления платежей в бюджет </w:t>
      </w:r>
      <w:proofErr w:type="spellStart"/>
      <w:r w:rsidRPr="00BE3DF9">
        <w:rPr>
          <w:rFonts w:ascii="Times New Roman" w:hAnsi="Times New Roman"/>
          <w:b/>
          <w:bCs/>
          <w:sz w:val="26"/>
          <w:szCs w:val="26"/>
        </w:rPr>
        <w:t>Дальнегорского</w:t>
      </w:r>
      <w:proofErr w:type="spellEnd"/>
      <w:r w:rsidRPr="00BE3DF9">
        <w:rPr>
          <w:rFonts w:ascii="Times New Roman" w:hAnsi="Times New Roman"/>
          <w:b/>
          <w:bCs/>
          <w:sz w:val="26"/>
          <w:szCs w:val="26"/>
        </w:rPr>
        <w:t xml:space="preserve"> городского округа, пеням по ним, в том числе: - за своевременным начислением неустойки (пени) и как результат не осуществление одного из Мероприятия по недопущению образования просроченной дебиторской задолженности по </w:t>
      </w:r>
      <w:r w:rsidRPr="00BE3DF9">
        <w:rPr>
          <w:rFonts w:ascii="Times New Roman" w:hAnsi="Times New Roman"/>
          <w:b/>
          <w:bCs/>
          <w:sz w:val="26"/>
          <w:szCs w:val="26"/>
        </w:rPr>
        <w:lastRenderedPageBreak/>
        <w:t>доходам, выявлению факторов, влияющих на образование просроченной дебиторской задолженности по доходам – абзац пятый подпункта а пункта 3.5 раздела 3</w:t>
      </w:r>
      <w:r>
        <w:rPr>
          <w:rFonts w:ascii="Times New Roman" w:hAnsi="Times New Roman"/>
          <w:b/>
          <w:bCs/>
          <w:sz w:val="26"/>
          <w:szCs w:val="26"/>
        </w:rPr>
        <w:t xml:space="preserve"> Регламента от 29.03.2023 № 20.</w:t>
      </w:r>
    </w:p>
    <w:p w:rsidR="001D7A1F" w:rsidRPr="00BE3DF9" w:rsidRDefault="001D7A1F" w:rsidP="001D7A1F">
      <w:pPr>
        <w:pStyle w:val="ab"/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BE3DF9">
        <w:rPr>
          <w:rFonts w:ascii="Times New Roman" w:hAnsi="Times New Roman"/>
          <w:bCs/>
          <w:sz w:val="26"/>
          <w:szCs w:val="26"/>
        </w:rPr>
        <w:t>Отмечено снижение в 2025 году</w:t>
      </w:r>
      <w:r>
        <w:rPr>
          <w:rFonts w:ascii="Times New Roman" w:hAnsi="Times New Roman"/>
          <w:bCs/>
          <w:sz w:val="26"/>
          <w:szCs w:val="26"/>
        </w:rPr>
        <w:t>,</w:t>
      </w:r>
      <w:r w:rsidRPr="00BE3DF9">
        <w:rPr>
          <w:rFonts w:ascii="Times New Roman" w:hAnsi="Times New Roman"/>
          <w:bCs/>
          <w:sz w:val="26"/>
          <w:szCs w:val="26"/>
        </w:rPr>
        <w:t xml:space="preserve"> как случаев списаний задолженности безнадежной к взысканию в сравнении с уровнем 2024 года, так и сумм списания указанной задолженности и пеней по указанной задолженности.</w:t>
      </w:r>
    </w:p>
    <w:p w:rsidR="001D7A1F" w:rsidRPr="00BE3DF9" w:rsidRDefault="001D7A1F" w:rsidP="001D7A1F">
      <w:pPr>
        <w:pStyle w:val="ab"/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BE3DF9">
        <w:rPr>
          <w:rFonts w:ascii="Times New Roman" w:hAnsi="Times New Roman"/>
          <w:bCs/>
          <w:sz w:val="26"/>
          <w:szCs w:val="26"/>
        </w:rPr>
        <w:t>Основным случаем списания задолженности как в 2024, так и в 2025 году являлось наступление смерти физического лица. Так, в 2024 году из 50 случаев списаний 48 списаний осуществлено по причине смерти физического лица. 2 случая списаний задолженности безнадежной к взысканию в 2024 году осуществлено по причине признания банкротом физического лица. В 2025 году все 11 случаев списаний указанной задолженности осуществлены по причине смерти физического лица.</w:t>
      </w:r>
    </w:p>
    <w:p w:rsidR="001D7A1F" w:rsidRPr="00BE3DF9" w:rsidRDefault="001D7A1F" w:rsidP="001D7A1F">
      <w:pPr>
        <w:pStyle w:val="ab"/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BE3DF9">
        <w:rPr>
          <w:rFonts w:ascii="Times New Roman" w:hAnsi="Times New Roman"/>
          <w:bCs/>
          <w:sz w:val="26"/>
          <w:szCs w:val="26"/>
        </w:rPr>
        <w:t>В целом при анализе задолженности признанной безнадежной к взысканию установлено</w:t>
      </w:r>
      <w:r>
        <w:rPr>
          <w:rFonts w:ascii="Times New Roman" w:hAnsi="Times New Roman"/>
          <w:bCs/>
          <w:sz w:val="26"/>
          <w:szCs w:val="26"/>
        </w:rPr>
        <w:t>,</w:t>
      </w:r>
      <w:r w:rsidRPr="00BE3DF9">
        <w:rPr>
          <w:rFonts w:ascii="Times New Roman" w:hAnsi="Times New Roman"/>
          <w:bCs/>
          <w:sz w:val="26"/>
          <w:szCs w:val="26"/>
        </w:rPr>
        <w:t xml:space="preserve"> что ответственные лица Управления не в полной мере руководствуются Регламентом от 29.03.2023 № 20 в своей деятельности поскольку работа с текущей дебиторской задолженностью в проверяемый период была не организована. По ряду дебиторов имелась задолженность в пределах 20 000 руб. и более и соответственно копилась она годами. В силу пункта 3.4 раздела 3 Регламента от 29.03.2023 № 20 </w:t>
      </w:r>
      <w:r w:rsidRPr="00BE3DF9">
        <w:rPr>
          <w:rFonts w:ascii="Times New Roman" w:hAnsi="Times New Roman"/>
          <w:b/>
          <w:bCs/>
          <w:sz w:val="26"/>
          <w:szCs w:val="26"/>
          <w:u w:val="single"/>
        </w:rPr>
        <w:t>текущая задолженность становится просроченной на следующий день после даты наступления срока исполнения обязательства по заключенному договору</w:t>
      </w:r>
      <w:r w:rsidRPr="00BE3DF9">
        <w:rPr>
          <w:rFonts w:ascii="Times New Roman" w:hAnsi="Times New Roman"/>
          <w:bCs/>
          <w:sz w:val="26"/>
          <w:szCs w:val="26"/>
        </w:rPr>
        <w:t>. При указанных условиях установлено нарушение пункта 3.1 раздела 3 Регламента от 29.03.2023 № 20 допущенное ответственным отделом/исполнителем по осуществлению контроля за полным и своевременным погашением дебиторской задолженности, ввиду не своевременного погашения текущей дебиторской задолженности и возникновения просроченной дебиторской задолженности и не осуществлению мероприятий по ее своевременному взысканию.</w:t>
      </w:r>
    </w:p>
    <w:p w:rsidR="001D7A1F" w:rsidRPr="00BE3DF9" w:rsidRDefault="001D7A1F" w:rsidP="001D7A1F">
      <w:pPr>
        <w:pStyle w:val="ab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BE3DF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Таким образом, проводимое мероприятие показало:</w:t>
      </w:r>
    </w:p>
    <w:p w:rsidR="001D7A1F" w:rsidRPr="00BE3DF9" w:rsidRDefault="001D7A1F" w:rsidP="001D7A1F">
      <w:pPr>
        <w:pStyle w:val="ab"/>
        <w:numPr>
          <w:ilvl w:val="0"/>
          <w:numId w:val="17"/>
        </w:numPr>
        <w:tabs>
          <w:tab w:val="left" w:pos="851"/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BE3DF9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отсутствие </w:t>
      </w:r>
      <w:r w:rsidRPr="00BE3DF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своевременности и обоснованности принятия решений </w:t>
      </w:r>
      <w:r w:rsidRPr="00BE3DF9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о приз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нании задолженности безнадежной,</w:t>
      </w:r>
      <w:r w:rsidRPr="00BE3DF9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отсутствие полного пакета </w:t>
      </w:r>
      <w:r w:rsidRPr="00BE3DF9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документов, подтверждающих обоснованность признания задолженности безнадежной к взысканию в рамках действующего Порядка от 07.11.2019 № 929-па с учетом внесенных в него изменений;</w:t>
      </w:r>
    </w:p>
    <w:p w:rsidR="001D7A1F" w:rsidRPr="00BE3DF9" w:rsidRDefault="001D7A1F" w:rsidP="001D7A1F">
      <w:pPr>
        <w:pStyle w:val="ab"/>
        <w:numPr>
          <w:ilvl w:val="0"/>
          <w:numId w:val="17"/>
        </w:numPr>
        <w:tabs>
          <w:tab w:val="left" w:pos="851"/>
          <w:tab w:val="left" w:pos="993"/>
        </w:tabs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BE3DF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отсутствие полноты и своевременности принятия мер </w:t>
      </w:r>
      <w:proofErr w:type="spellStart"/>
      <w:r w:rsidRPr="00BE3DF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претензионно</w:t>
      </w:r>
      <w:proofErr w:type="spellEnd"/>
      <w:r w:rsidRPr="00BE3DF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-искового характера </w:t>
      </w:r>
      <w:r w:rsidRPr="00BE3DF9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по взысканию задолженности, включению ее в реестр требований кредиторов в рамках процедуры банкротства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.</w:t>
      </w:r>
    </w:p>
    <w:p w:rsidR="001D7A1F" w:rsidRPr="00BE3DF9" w:rsidRDefault="001D7A1F" w:rsidP="001D7A1F">
      <w:pPr>
        <w:pStyle w:val="ab"/>
        <w:tabs>
          <w:tab w:val="left" w:pos="851"/>
          <w:tab w:val="left" w:pos="993"/>
        </w:tabs>
        <w:spacing w:after="0"/>
        <w:ind w:left="709" w:firstLine="709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1D7A1F" w:rsidRPr="00BE3DF9" w:rsidRDefault="001D7A1F" w:rsidP="001D7A1F">
      <w:pPr>
        <w:pStyle w:val="ab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BE3DF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Установлено нарушение Управлением положений п.п.</w:t>
      </w:r>
      <w:r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1-</w:t>
      </w:r>
      <w:r w:rsidRPr="00BE3DF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3, 5 ст.47.2., п.2 ст.160.1. Бюджетного кодекса Российской Федерации:</w:t>
      </w:r>
    </w:p>
    <w:p w:rsidR="001D7A1F" w:rsidRPr="006A6D25" w:rsidRDefault="001D7A1F" w:rsidP="00E2534F">
      <w:pPr>
        <w:pStyle w:val="ab"/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BE3DF9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- дебиторская задолженность в проверяемый период признана безнадежной к взысканию в отсутствие необходимых документов, подтверждающих основания пр</w:t>
      </w:r>
      <w:r w:rsidRPr="006A6D25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изнания ее таковой.</w:t>
      </w:r>
    </w:p>
    <w:p w:rsidR="00FE5E97" w:rsidRPr="006A6D25" w:rsidRDefault="003C3B7E" w:rsidP="00FE5E97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По результатам проведенного мероприятия сформирован</w:t>
      </w:r>
      <w:r w:rsidR="00794C4F"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ы</w:t>
      </w: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предложени</w:t>
      </w:r>
      <w:r w:rsidR="00794C4F"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я (рекомендации</w:t>
      </w: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)</w:t>
      </w:r>
      <w:r w:rsidR="00197938"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2534F" w:rsidRPr="006A6D25">
        <w:rPr>
          <w:rFonts w:ascii="Times New Roman" w:eastAsia="Calibri" w:hAnsi="Times New Roman" w:cs="Times New Roman"/>
          <w:sz w:val="26"/>
          <w:szCs w:val="26"/>
        </w:rPr>
        <w:t>для объектов</w:t>
      </w:r>
      <w:r w:rsidR="000D5C87" w:rsidRPr="006A6D25">
        <w:rPr>
          <w:rFonts w:ascii="Times New Roman" w:eastAsia="Calibri" w:hAnsi="Times New Roman" w:cs="Times New Roman"/>
          <w:sz w:val="26"/>
          <w:szCs w:val="26"/>
        </w:rPr>
        <w:t xml:space="preserve"> контроля</w:t>
      </w:r>
      <w:r w:rsidR="009967F7" w:rsidRPr="006A6D2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247AC" w:rsidRDefault="00A75D38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6D25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Заключение от </w:t>
      </w:r>
      <w:r w:rsidR="00E2534F" w:rsidRPr="006A6D25">
        <w:rPr>
          <w:rFonts w:ascii="Times New Roman" w:eastAsia="Calibri" w:hAnsi="Times New Roman" w:cs="Times New Roman"/>
          <w:sz w:val="26"/>
          <w:szCs w:val="26"/>
        </w:rPr>
        <w:t>21.04</w:t>
      </w:r>
      <w:r w:rsidR="00794C4F" w:rsidRPr="006A6D25">
        <w:rPr>
          <w:rFonts w:ascii="Times New Roman" w:eastAsia="Calibri" w:hAnsi="Times New Roman" w:cs="Times New Roman"/>
          <w:sz w:val="26"/>
          <w:szCs w:val="26"/>
        </w:rPr>
        <w:t>.2026</w:t>
      </w:r>
      <w:r w:rsidR="00E2534F" w:rsidRPr="006A6D25">
        <w:rPr>
          <w:rFonts w:ascii="Times New Roman" w:eastAsia="Calibri" w:hAnsi="Times New Roman" w:cs="Times New Roman"/>
          <w:sz w:val="26"/>
          <w:szCs w:val="26"/>
        </w:rPr>
        <w:t xml:space="preserve"> № 29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доведено до Председателя Думы </w:t>
      </w:r>
      <w:proofErr w:type="spellStart"/>
      <w:r w:rsidRPr="006A6D25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106AE" w:rsidRPr="006A6D2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округа, Главы </w:t>
      </w:r>
      <w:proofErr w:type="spellStart"/>
      <w:r w:rsidRPr="006A6D25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106AE" w:rsidRPr="006A6D2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округа</w:t>
      </w:r>
      <w:r w:rsidR="00C41785" w:rsidRPr="006A6D25">
        <w:rPr>
          <w:rFonts w:ascii="Times New Roman" w:eastAsia="Calibri" w:hAnsi="Times New Roman" w:cs="Times New Roman"/>
          <w:sz w:val="26"/>
          <w:szCs w:val="26"/>
        </w:rPr>
        <w:t xml:space="preserve"> Приморского края</w:t>
      </w:r>
      <w:r w:rsidR="00E2534F" w:rsidRPr="006A6D25">
        <w:rPr>
          <w:rFonts w:ascii="Times New Roman" w:eastAsia="Calibri" w:hAnsi="Times New Roman" w:cs="Times New Roman"/>
          <w:sz w:val="26"/>
          <w:szCs w:val="26"/>
        </w:rPr>
        <w:t xml:space="preserve"> и Управления муниципального имущества администрации </w:t>
      </w:r>
      <w:proofErr w:type="spellStart"/>
      <w:r w:rsidR="00E2534F" w:rsidRPr="006A6D25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="00E2534F" w:rsidRPr="006A6D25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 Приморского края</w:t>
      </w:r>
      <w:r w:rsidR="00FE5E97" w:rsidRPr="006A6D2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967F7" w:rsidRP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005C7" w:rsidRPr="00B24A58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>Исп. Главный инспектор Куликова Н.А.</w:t>
      </w:r>
    </w:p>
    <w:p w:rsidR="00B24A58" w:rsidRPr="003005C7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>Тел.:(42373)3-27-35</w:t>
      </w:r>
    </w:p>
    <w:sectPr w:rsidR="00B24A58" w:rsidRPr="003005C7" w:rsidSect="00197938">
      <w:headerReference w:type="default" r:id="rId7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71B" w:rsidRDefault="009C071B" w:rsidP="003005C7">
      <w:pPr>
        <w:spacing w:after="0" w:line="240" w:lineRule="auto"/>
      </w:pPr>
      <w:r>
        <w:separator/>
      </w:r>
    </w:p>
  </w:endnote>
  <w:endnote w:type="continuationSeparator" w:id="0">
    <w:p w:rsidR="009C071B" w:rsidRDefault="009C071B" w:rsidP="0030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71B" w:rsidRDefault="009C071B" w:rsidP="003005C7">
      <w:pPr>
        <w:spacing w:after="0" w:line="240" w:lineRule="auto"/>
      </w:pPr>
      <w:r>
        <w:separator/>
      </w:r>
    </w:p>
  </w:footnote>
  <w:footnote w:type="continuationSeparator" w:id="0">
    <w:p w:rsidR="009C071B" w:rsidRDefault="009C071B" w:rsidP="00300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1824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0E75" w:rsidRPr="009967F7" w:rsidRDefault="00CF0E75" w:rsidP="009967F7">
        <w:pPr>
          <w:pStyle w:val="a5"/>
          <w:jc w:val="center"/>
          <w:rPr>
            <w:rFonts w:ascii="Times New Roman" w:hAnsi="Times New Roman" w:cs="Times New Roman"/>
          </w:rPr>
        </w:pPr>
        <w:r w:rsidRPr="00CF0E75">
          <w:rPr>
            <w:rFonts w:ascii="Times New Roman" w:hAnsi="Times New Roman" w:cs="Times New Roman"/>
          </w:rPr>
          <w:fldChar w:fldCharType="begin"/>
        </w:r>
        <w:r w:rsidRPr="00CF0E75">
          <w:rPr>
            <w:rFonts w:ascii="Times New Roman" w:hAnsi="Times New Roman" w:cs="Times New Roman"/>
          </w:rPr>
          <w:instrText>PAGE   \* MERGEFORMAT</w:instrText>
        </w:r>
        <w:r w:rsidRPr="00CF0E75">
          <w:rPr>
            <w:rFonts w:ascii="Times New Roman" w:hAnsi="Times New Roman" w:cs="Times New Roman"/>
          </w:rPr>
          <w:fldChar w:fldCharType="separate"/>
        </w:r>
        <w:r w:rsidR="00E768C8">
          <w:rPr>
            <w:rFonts w:ascii="Times New Roman" w:hAnsi="Times New Roman" w:cs="Times New Roman"/>
            <w:noProof/>
          </w:rPr>
          <w:t>5</w:t>
        </w:r>
        <w:r w:rsidRPr="00CF0E7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A0A84"/>
    <w:multiLevelType w:val="hybridMultilevel"/>
    <w:tmpl w:val="B39C0E06"/>
    <w:lvl w:ilvl="0" w:tplc="7E7CEEA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D50B6E"/>
    <w:multiLevelType w:val="hybridMultilevel"/>
    <w:tmpl w:val="17849520"/>
    <w:lvl w:ilvl="0" w:tplc="A148ED1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2C17AB"/>
    <w:multiLevelType w:val="hybridMultilevel"/>
    <w:tmpl w:val="7B3C169A"/>
    <w:lvl w:ilvl="0" w:tplc="9D52DB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CD5D19"/>
    <w:multiLevelType w:val="hybridMultilevel"/>
    <w:tmpl w:val="B6D0C65A"/>
    <w:lvl w:ilvl="0" w:tplc="04190011">
      <w:start w:val="1"/>
      <w:numFmt w:val="decimal"/>
      <w:lvlText w:val="%1)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A436F6"/>
    <w:multiLevelType w:val="hybridMultilevel"/>
    <w:tmpl w:val="709A1D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A1026A"/>
    <w:multiLevelType w:val="multilevel"/>
    <w:tmpl w:val="F89062B6"/>
    <w:lvl w:ilvl="0">
      <w:start w:val="1"/>
      <w:numFmt w:val="decimal"/>
      <w:pStyle w:val="a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6" w15:restartNumberingAfterBreak="0">
    <w:nsid w:val="28CC4179"/>
    <w:multiLevelType w:val="hybridMultilevel"/>
    <w:tmpl w:val="0544808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FA3584"/>
    <w:multiLevelType w:val="hybridMultilevel"/>
    <w:tmpl w:val="77B6F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72B40"/>
    <w:multiLevelType w:val="hybridMultilevel"/>
    <w:tmpl w:val="82FA4224"/>
    <w:lvl w:ilvl="0" w:tplc="C06C8894">
      <w:start w:val="1"/>
      <w:numFmt w:val="decimal"/>
      <w:lvlText w:val="%1)"/>
      <w:lvlJc w:val="left"/>
      <w:pPr>
        <w:ind w:left="720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A3E37"/>
    <w:multiLevelType w:val="multilevel"/>
    <w:tmpl w:val="29CE31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47820C47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06560E"/>
    <w:multiLevelType w:val="hybridMultilevel"/>
    <w:tmpl w:val="56DC9B1E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49C70EE2"/>
    <w:multiLevelType w:val="hybridMultilevel"/>
    <w:tmpl w:val="BB5C5FE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C8C6E13"/>
    <w:multiLevelType w:val="hybridMultilevel"/>
    <w:tmpl w:val="1B90D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041072"/>
    <w:multiLevelType w:val="hybridMultilevel"/>
    <w:tmpl w:val="3B92A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E5C3D"/>
    <w:multiLevelType w:val="hybridMultilevel"/>
    <w:tmpl w:val="9C444A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9E1639E"/>
    <w:multiLevelType w:val="hybridMultilevel"/>
    <w:tmpl w:val="DEA4C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6A0933"/>
    <w:multiLevelType w:val="hybridMultilevel"/>
    <w:tmpl w:val="CD74844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51C3A26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B39F4"/>
    <w:multiLevelType w:val="hybridMultilevel"/>
    <w:tmpl w:val="08E6CD58"/>
    <w:lvl w:ilvl="0" w:tplc="7E7CEEA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DB71D3D"/>
    <w:multiLevelType w:val="hybridMultilevel"/>
    <w:tmpl w:val="5AB078A2"/>
    <w:lvl w:ilvl="0" w:tplc="E81AF16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8"/>
  </w:num>
  <w:num w:numId="3">
    <w:abstractNumId w:val="15"/>
  </w:num>
  <w:num w:numId="4">
    <w:abstractNumId w:val="16"/>
  </w:num>
  <w:num w:numId="5">
    <w:abstractNumId w:val="6"/>
  </w:num>
  <w:num w:numId="6">
    <w:abstractNumId w:val="10"/>
  </w:num>
  <w:num w:numId="7">
    <w:abstractNumId w:val="1"/>
  </w:num>
  <w:num w:numId="8">
    <w:abstractNumId w:val="9"/>
  </w:num>
  <w:num w:numId="9">
    <w:abstractNumId w:val="13"/>
  </w:num>
  <w:num w:numId="10">
    <w:abstractNumId w:val="8"/>
  </w:num>
  <w:num w:numId="11">
    <w:abstractNumId w:val="17"/>
  </w:num>
  <w:num w:numId="12">
    <w:abstractNumId w:val="14"/>
  </w:num>
  <w:num w:numId="13">
    <w:abstractNumId w:val="7"/>
  </w:num>
  <w:num w:numId="14">
    <w:abstractNumId w:val="3"/>
  </w:num>
  <w:num w:numId="15">
    <w:abstractNumId w:val="2"/>
  </w:num>
  <w:num w:numId="16">
    <w:abstractNumId w:val="20"/>
  </w:num>
  <w:num w:numId="17">
    <w:abstractNumId w:val="11"/>
  </w:num>
  <w:num w:numId="18">
    <w:abstractNumId w:val="0"/>
  </w:num>
  <w:num w:numId="19">
    <w:abstractNumId w:val="4"/>
  </w:num>
  <w:num w:numId="20">
    <w:abstractNumId w:val="19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DCD"/>
    <w:rsid w:val="00072795"/>
    <w:rsid w:val="000C3E60"/>
    <w:rsid w:val="000C5493"/>
    <w:rsid w:val="000D5C87"/>
    <w:rsid w:val="0010647C"/>
    <w:rsid w:val="00140801"/>
    <w:rsid w:val="00151B14"/>
    <w:rsid w:val="00156484"/>
    <w:rsid w:val="00197938"/>
    <w:rsid w:val="001C71C3"/>
    <w:rsid w:val="001D7A1F"/>
    <w:rsid w:val="002551E6"/>
    <w:rsid w:val="00271AEB"/>
    <w:rsid w:val="00281E1C"/>
    <w:rsid w:val="002B7EEE"/>
    <w:rsid w:val="002F0F2B"/>
    <w:rsid w:val="003005C7"/>
    <w:rsid w:val="00366142"/>
    <w:rsid w:val="0037225E"/>
    <w:rsid w:val="0037232D"/>
    <w:rsid w:val="00376CAB"/>
    <w:rsid w:val="00390081"/>
    <w:rsid w:val="003C08AF"/>
    <w:rsid w:val="003C3B7E"/>
    <w:rsid w:val="003C5274"/>
    <w:rsid w:val="003D095D"/>
    <w:rsid w:val="00424507"/>
    <w:rsid w:val="004335D1"/>
    <w:rsid w:val="0045262A"/>
    <w:rsid w:val="00485411"/>
    <w:rsid w:val="004A77A3"/>
    <w:rsid w:val="004B3166"/>
    <w:rsid w:val="004D32DE"/>
    <w:rsid w:val="004F2784"/>
    <w:rsid w:val="004F3B11"/>
    <w:rsid w:val="005011A5"/>
    <w:rsid w:val="00504012"/>
    <w:rsid w:val="00517CB8"/>
    <w:rsid w:val="005570F7"/>
    <w:rsid w:val="0057606E"/>
    <w:rsid w:val="005C772B"/>
    <w:rsid w:val="006106AE"/>
    <w:rsid w:val="00622B54"/>
    <w:rsid w:val="00631724"/>
    <w:rsid w:val="00664FC0"/>
    <w:rsid w:val="006A2C9A"/>
    <w:rsid w:val="006A6D25"/>
    <w:rsid w:val="006B0C74"/>
    <w:rsid w:val="006C5122"/>
    <w:rsid w:val="006C65B5"/>
    <w:rsid w:val="006D010B"/>
    <w:rsid w:val="00702B92"/>
    <w:rsid w:val="00720BC5"/>
    <w:rsid w:val="007603EB"/>
    <w:rsid w:val="00776E9E"/>
    <w:rsid w:val="00777787"/>
    <w:rsid w:val="00794C4F"/>
    <w:rsid w:val="007E2284"/>
    <w:rsid w:val="008408B9"/>
    <w:rsid w:val="008629A5"/>
    <w:rsid w:val="008731DA"/>
    <w:rsid w:val="00877DF3"/>
    <w:rsid w:val="008C2667"/>
    <w:rsid w:val="008D1C71"/>
    <w:rsid w:val="008E69BB"/>
    <w:rsid w:val="00907D35"/>
    <w:rsid w:val="009155AC"/>
    <w:rsid w:val="009173E4"/>
    <w:rsid w:val="009245CB"/>
    <w:rsid w:val="009247AC"/>
    <w:rsid w:val="00932B94"/>
    <w:rsid w:val="00960B77"/>
    <w:rsid w:val="009967F7"/>
    <w:rsid w:val="009C071B"/>
    <w:rsid w:val="009D3C07"/>
    <w:rsid w:val="00A74F18"/>
    <w:rsid w:val="00A75D38"/>
    <w:rsid w:val="00A76F8E"/>
    <w:rsid w:val="00A94326"/>
    <w:rsid w:val="00AC0CFC"/>
    <w:rsid w:val="00AD0FA8"/>
    <w:rsid w:val="00AD3761"/>
    <w:rsid w:val="00AF5ACC"/>
    <w:rsid w:val="00B16938"/>
    <w:rsid w:val="00B24A58"/>
    <w:rsid w:val="00B32E24"/>
    <w:rsid w:val="00B41A85"/>
    <w:rsid w:val="00B5371C"/>
    <w:rsid w:val="00B7265A"/>
    <w:rsid w:val="00B86CD0"/>
    <w:rsid w:val="00B954FF"/>
    <w:rsid w:val="00BC198A"/>
    <w:rsid w:val="00BD70DF"/>
    <w:rsid w:val="00BF0DCD"/>
    <w:rsid w:val="00C0095B"/>
    <w:rsid w:val="00C41785"/>
    <w:rsid w:val="00C55AA6"/>
    <w:rsid w:val="00CF0E75"/>
    <w:rsid w:val="00D05E65"/>
    <w:rsid w:val="00D113E9"/>
    <w:rsid w:val="00D17269"/>
    <w:rsid w:val="00D858CC"/>
    <w:rsid w:val="00D93356"/>
    <w:rsid w:val="00D93665"/>
    <w:rsid w:val="00DB193A"/>
    <w:rsid w:val="00DE22DF"/>
    <w:rsid w:val="00E172B6"/>
    <w:rsid w:val="00E2534F"/>
    <w:rsid w:val="00E52813"/>
    <w:rsid w:val="00E55F4B"/>
    <w:rsid w:val="00E56B41"/>
    <w:rsid w:val="00E66652"/>
    <w:rsid w:val="00E768C8"/>
    <w:rsid w:val="00EC6B42"/>
    <w:rsid w:val="00EE57BB"/>
    <w:rsid w:val="00F10B80"/>
    <w:rsid w:val="00F43A4C"/>
    <w:rsid w:val="00F609DD"/>
    <w:rsid w:val="00F72736"/>
    <w:rsid w:val="00FC352D"/>
    <w:rsid w:val="00FE594E"/>
    <w:rsid w:val="00FE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D7DBD5-560A-4D1D-8282-C4FF6DBC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F0F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Заключения"/>
    <w:basedOn w:val="1"/>
    <w:link w:val="a4"/>
    <w:autoRedefine/>
    <w:qFormat/>
    <w:rsid w:val="002F0F2B"/>
    <w:pPr>
      <w:keepLines w:val="0"/>
      <w:numPr>
        <w:numId w:val="1"/>
      </w:numPr>
      <w:spacing w:after="120" w:line="276" w:lineRule="auto"/>
      <w:ind w:left="0" w:firstLine="709"/>
      <w:jc w:val="center"/>
    </w:pPr>
    <w:rPr>
      <w:rFonts w:ascii="Times New Roman" w:eastAsia="Times New Roman" w:hAnsi="Times New Roman"/>
      <w:b/>
      <w:bCs/>
      <w:color w:val="auto"/>
      <w:kern w:val="32"/>
      <w:sz w:val="26"/>
      <w:szCs w:val="26"/>
    </w:rPr>
  </w:style>
  <w:style w:type="character" w:customStyle="1" w:styleId="a4">
    <w:name w:val="Стиль Заключения Знак"/>
    <w:basedOn w:val="10"/>
    <w:link w:val="a"/>
    <w:rsid w:val="002F0F2B"/>
    <w:rPr>
      <w:rFonts w:ascii="Times New Roman" w:eastAsia="Times New Roman" w:hAnsi="Times New Roman" w:cstheme="majorBidi"/>
      <w:b/>
      <w:bCs/>
      <w:color w:val="2F5496" w:themeColor="accent1" w:themeShade="BF"/>
      <w:kern w:val="32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2F0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header"/>
    <w:basedOn w:val="a0"/>
    <w:link w:val="a6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3005C7"/>
  </w:style>
  <w:style w:type="paragraph" w:styleId="a7">
    <w:name w:val="footer"/>
    <w:basedOn w:val="a0"/>
    <w:link w:val="a8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3005C7"/>
  </w:style>
  <w:style w:type="paragraph" w:styleId="a9">
    <w:name w:val="Balloon Text"/>
    <w:basedOn w:val="a0"/>
    <w:link w:val="aa"/>
    <w:uiPriority w:val="99"/>
    <w:semiHidden/>
    <w:unhideWhenUsed/>
    <w:rsid w:val="00CF0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CF0E75"/>
    <w:rPr>
      <w:rFonts w:ascii="Segoe UI" w:hAnsi="Segoe UI" w:cs="Segoe UI"/>
      <w:sz w:val="18"/>
      <w:szCs w:val="18"/>
    </w:rPr>
  </w:style>
  <w:style w:type="paragraph" w:styleId="ab">
    <w:name w:val="List Paragraph"/>
    <w:basedOn w:val="a0"/>
    <w:uiPriority w:val="34"/>
    <w:qFormat/>
    <w:rsid w:val="003C3B7E"/>
    <w:pPr>
      <w:ind w:left="720"/>
      <w:contextualSpacing/>
    </w:pPr>
  </w:style>
  <w:style w:type="character" w:styleId="ac">
    <w:name w:val="Hyperlink"/>
    <w:uiPriority w:val="99"/>
    <w:unhideWhenUsed/>
    <w:rsid w:val="003C3B7E"/>
    <w:rPr>
      <w:color w:val="0000FF"/>
      <w:u w:val="single"/>
    </w:rPr>
  </w:style>
  <w:style w:type="character" w:customStyle="1" w:styleId="t286pc">
    <w:name w:val="t286pc"/>
    <w:rsid w:val="006C5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5</Pages>
  <Words>1610</Words>
  <Characters>9179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KSP-2023</dc:creator>
  <cp:keywords/>
  <dc:description/>
  <cp:lastModifiedBy>oOo</cp:lastModifiedBy>
  <cp:revision>36</cp:revision>
  <cp:lastPrinted>2026-04-22T04:35:00Z</cp:lastPrinted>
  <dcterms:created xsi:type="dcterms:W3CDTF">2025-05-18T23:57:00Z</dcterms:created>
  <dcterms:modified xsi:type="dcterms:W3CDTF">2026-04-23T01:58:00Z</dcterms:modified>
</cp:coreProperties>
</file>